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ECB" w:rsidRPr="00956A7F" w:rsidRDefault="00565ECB" w:rsidP="00565ECB">
      <w:pPr>
        <w:jc w:val="center"/>
        <w:rPr>
          <w:b/>
          <w:color w:val="FF0000"/>
          <w:sz w:val="44"/>
          <w:szCs w:val="44"/>
        </w:rPr>
      </w:pPr>
      <w:bookmarkStart w:id="0" w:name="_GoBack"/>
      <w:bookmarkEnd w:id="0"/>
      <w:r w:rsidRPr="00956A7F">
        <w:rPr>
          <w:rFonts w:hint="eastAsia"/>
          <w:b/>
          <w:color w:val="FF0000"/>
          <w:sz w:val="44"/>
          <w:szCs w:val="44"/>
        </w:rPr>
        <w:t>钢铁冶金新技术国家重点实验室</w:t>
      </w:r>
    </w:p>
    <w:p w:rsidR="00565ECB" w:rsidRPr="00556616" w:rsidRDefault="00556616" w:rsidP="00565ECB">
      <w:pPr>
        <w:jc w:val="center"/>
        <w:rPr>
          <w:rFonts w:ascii="宋体" w:eastAsia="宋体" w:hAnsi="宋体"/>
          <w:sz w:val="32"/>
          <w:szCs w:val="32"/>
        </w:rPr>
      </w:pPr>
      <w:r w:rsidRPr="00556616">
        <w:rPr>
          <w:rFonts w:ascii="宋体" w:eastAsia="宋体" w:hAnsi="宋体" w:hint="eastAsia"/>
          <w:sz w:val="32"/>
          <w:szCs w:val="32"/>
        </w:rPr>
        <w:t>二级保密管理制度</w:t>
      </w:r>
    </w:p>
    <w:p w:rsidR="00BD470D" w:rsidRPr="001C36B1" w:rsidRDefault="00BD470D" w:rsidP="00BD470D">
      <w:pPr>
        <w:jc w:val="center"/>
        <w:rPr>
          <w:rFonts w:ascii="Times New Roman" w:hAnsi="Times New Roman" w:cs="Times New Roman"/>
          <w:sz w:val="28"/>
          <w:szCs w:val="28"/>
        </w:rPr>
      </w:pPr>
      <w:r w:rsidRPr="001C36B1">
        <w:rPr>
          <w:rFonts w:ascii="Times New Roman" w:hAnsi="Times New Roman" w:cs="Times New Roman"/>
          <w:sz w:val="28"/>
          <w:szCs w:val="28"/>
        </w:rPr>
        <w:t>冶金国重</w:t>
      </w:r>
      <w:r w:rsidR="00B13356" w:rsidRPr="001C36B1">
        <w:rPr>
          <w:rFonts w:ascii="Times New Roman" w:hAnsi="Times New Roman" w:cs="Times New Roman"/>
          <w:sz w:val="28"/>
          <w:szCs w:val="28"/>
        </w:rPr>
        <w:t>发</w:t>
      </w:r>
      <w:r w:rsidRPr="001C36B1">
        <w:rPr>
          <w:rFonts w:ascii="Times New Roman" w:hAnsi="Times New Roman" w:cs="Times New Roman"/>
          <w:sz w:val="28"/>
          <w:szCs w:val="28"/>
        </w:rPr>
        <w:t>【</w:t>
      </w:r>
      <w:r w:rsidR="001C36B1" w:rsidRPr="001C36B1">
        <w:rPr>
          <w:rFonts w:ascii="Times New Roman" w:hAnsi="Times New Roman" w:cs="Times New Roman"/>
          <w:sz w:val="28"/>
          <w:szCs w:val="28"/>
        </w:rPr>
        <w:t>2022</w:t>
      </w:r>
      <w:r w:rsidRPr="001C36B1">
        <w:rPr>
          <w:rFonts w:ascii="Times New Roman" w:hAnsi="Times New Roman" w:cs="Times New Roman"/>
          <w:sz w:val="28"/>
          <w:szCs w:val="28"/>
        </w:rPr>
        <w:t>】</w:t>
      </w:r>
      <w:r w:rsidR="001C36B1" w:rsidRPr="001C36B1">
        <w:rPr>
          <w:rFonts w:ascii="Times New Roman" w:hAnsi="Times New Roman" w:cs="Times New Roman"/>
          <w:sz w:val="28"/>
          <w:szCs w:val="28"/>
        </w:rPr>
        <w:t>12</w:t>
      </w:r>
      <w:r w:rsidRPr="001C36B1">
        <w:rPr>
          <w:rFonts w:ascii="Times New Roman" w:hAnsi="Times New Roman" w:cs="Times New Roman"/>
          <w:sz w:val="28"/>
          <w:szCs w:val="28"/>
        </w:rPr>
        <w:t>号</w:t>
      </w:r>
    </w:p>
    <w:p w:rsidR="001C36B1" w:rsidRDefault="00956A7F" w:rsidP="001C36B1">
      <w:pPr>
        <w:spacing w:line="360" w:lineRule="auto"/>
        <w:ind w:firstLineChars="200" w:firstLine="560"/>
        <w:contextualSpacing/>
        <w:rPr>
          <w:rFonts w:ascii="仿宋" w:eastAsia="仿宋" w:hAnsi="仿宋"/>
          <w:b/>
          <w:bCs/>
          <w:color w:val="000099"/>
          <w:sz w:val="24"/>
          <w:szCs w:val="24"/>
        </w:rPr>
      </w:pPr>
      <w:r>
        <w:rPr>
          <w:noProof/>
          <w:sz w:val="28"/>
          <w:szCs w:val="28"/>
        </w:rPr>
        <mc:AlternateContent>
          <mc:Choice Requires="wps">
            <w:drawing>
              <wp:anchor distT="0" distB="0" distL="114300" distR="114300" simplePos="0" relativeHeight="251659264" behindDoc="0" locked="0" layoutInCell="1" allowOverlap="1" wp14:anchorId="5BCEB7CB" wp14:editId="246DBDE4">
                <wp:simplePos x="0" y="0"/>
                <wp:positionH relativeFrom="column">
                  <wp:posOffset>3175</wp:posOffset>
                </wp:positionH>
                <wp:positionV relativeFrom="paragraph">
                  <wp:posOffset>38735</wp:posOffset>
                </wp:positionV>
                <wp:extent cx="6181725" cy="0"/>
                <wp:effectExtent l="0" t="0" r="9525" b="19050"/>
                <wp:wrapNone/>
                <wp:docPr id="1" name="直接连接符 1"/>
                <wp:cNvGraphicFramePr/>
                <a:graphic xmlns:a="http://schemas.openxmlformats.org/drawingml/2006/main">
                  <a:graphicData uri="http://schemas.microsoft.com/office/word/2010/wordprocessingShape">
                    <wps:wsp>
                      <wps:cNvCnPr/>
                      <wps:spPr>
                        <a:xfrm flipH="1" flipV="1">
                          <a:off x="0" y="0"/>
                          <a:ext cx="6181725" cy="0"/>
                        </a:xfrm>
                        <a:prstGeom prst="line">
                          <a:avLst/>
                        </a:prstGeom>
                        <a:ln w="254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9A5F479" id="直接连接符 1"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05pt" to="487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" strokecolor="red" strokeweight="2pt">
                <v:stroke joinstyle="miter"/>
              </v:line>
            </w:pict>
          </mc:Fallback>
        </mc:AlternateContent>
      </w:r>
      <w:r w:rsidR="00E95C77">
        <w:rPr>
          <w:sz w:val="28"/>
          <w:szCs w:val="28"/>
        </w:rPr>
        <w:softHyphen/>
      </w:r>
      <w:r w:rsidR="00E95C77">
        <w:rPr>
          <w:sz w:val="28"/>
          <w:szCs w:val="28"/>
        </w:rPr>
        <w:softHyphen/>
      </w:r>
      <w:r w:rsidR="00E95C77">
        <w:rPr>
          <w:sz w:val="28"/>
          <w:szCs w:val="28"/>
        </w:rPr>
        <w:softHyphen/>
      </w:r>
      <w:r w:rsidR="001C36B1">
        <w:rPr>
          <w:rFonts w:ascii="仿宋" w:eastAsia="仿宋" w:hAnsi="仿宋" w:hint="eastAsia"/>
          <w:color w:val="000000"/>
          <w:sz w:val="24"/>
          <w:szCs w:val="24"/>
        </w:rPr>
        <w:t>根据《中华人民共和国保守秘密法》和学校有关保密制度规定，为了加强钢铁冶金新技术国家重点实验室（以下简称：实验室）保密相关工作的管理，提高保密相关工作效率，更好地为科研和仪器设备保密相关工作服务，具体制度如下：</w:t>
      </w:r>
    </w:p>
    <w:p w:rsidR="001C36B1" w:rsidRDefault="001C36B1" w:rsidP="001C36B1">
      <w:pPr>
        <w:spacing w:line="360" w:lineRule="auto"/>
        <w:ind w:leftChars="13" w:left="27" w:firstLineChars="191" w:firstLine="460"/>
        <w:contextualSpacing/>
        <w:rPr>
          <w:rFonts w:ascii="仿宋" w:eastAsia="仿宋" w:hAnsi="仿宋"/>
          <w:color w:val="000000"/>
          <w:sz w:val="24"/>
          <w:szCs w:val="24"/>
        </w:rPr>
      </w:pPr>
      <w:r>
        <w:rPr>
          <w:rFonts w:ascii="仿宋" w:eastAsia="仿宋" w:hAnsi="仿宋" w:hint="eastAsia"/>
          <w:b/>
          <w:bCs/>
          <w:color w:val="000000"/>
          <w:sz w:val="24"/>
          <w:szCs w:val="24"/>
        </w:rPr>
        <w:t>一、</w:t>
      </w:r>
      <w:r>
        <w:rPr>
          <w:rFonts w:ascii="仿宋" w:eastAsia="仿宋" w:hAnsi="仿宋" w:hint="eastAsia"/>
          <w:color w:val="000000"/>
          <w:sz w:val="24"/>
          <w:szCs w:val="24"/>
        </w:rPr>
        <w:t>宣传和执行国家、学校有关保密工作管理的法规和制度，并结合本实验室的具体情况实施。</w:t>
      </w:r>
    </w:p>
    <w:p w:rsidR="001C36B1" w:rsidRDefault="001C36B1" w:rsidP="001C36B1">
      <w:pPr>
        <w:spacing w:line="360" w:lineRule="auto"/>
        <w:ind w:leftChars="13" w:left="27" w:firstLineChars="191" w:firstLine="460"/>
        <w:contextualSpacing/>
        <w:rPr>
          <w:rFonts w:ascii="仿宋" w:eastAsia="仿宋" w:hAnsi="仿宋"/>
          <w:color w:val="000000"/>
          <w:sz w:val="24"/>
          <w:szCs w:val="24"/>
        </w:rPr>
      </w:pPr>
      <w:r>
        <w:rPr>
          <w:rFonts w:ascii="仿宋" w:eastAsia="仿宋" w:hAnsi="仿宋" w:hint="eastAsia"/>
          <w:b/>
          <w:bCs/>
          <w:color w:val="000000"/>
          <w:sz w:val="24"/>
          <w:szCs w:val="24"/>
        </w:rPr>
        <w:t>二、</w:t>
      </w:r>
      <w:r>
        <w:rPr>
          <w:rFonts w:ascii="仿宋" w:eastAsia="仿宋" w:hAnsi="仿宋" w:hint="eastAsia"/>
          <w:color w:val="000000"/>
          <w:sz w:val="24"/>
          <w:szCs w:val="24"/>
        </w:rPr>
        <w:t>掌握本实验室保密涉密仪器设备、科研任务以及人员的基本情况以及涉密人员保密状态和保密任务的情况，为实验室保密工作合理规划提供依据。</w:t>
      </w:r>
    </w:p>
    <w:p w:rsidR="001C36B1" w:rsidRDefault="001C36B1" w:rsidP="001C36B1">
      <w:pPr>
        <w:spacing w:line="360" w:lineRule="auto"/>
        <w:ind w:leftChars="13" w:left="27" w:firstLineChars="191" w:firstLine="460"/>
        <w:contextualSpacing/>
        <w:rPr>
          <w:rFonts w:ascii="仿宋" w:eastAsia="仿宋" w:hAnsi="仿宋"/>
          <w:color w:val="000000"/>
          <w:sz w:val="24"/>
          <w:szCs w:val="24"/>
        </w:rPr>
      </w:pPr>
      <w:r>
        <w:rPr>
          <w:rFonts w:ascii="仿宋" w:eastAsia="仿宋" w:hAnsi="仿宋" w:hint="eastAsia"/>
          <w:b/>
          <w:bCs/>
          <w:color w:val="000000"/>
          <w:sz w:val="24"/>
          <w:szCs w:val="24"/>
        </w:rPr>
        <w:t>三、</w:t>
      </w:r>
      <w:r>
        <w:rPr>
          <w:rFonts w:ascii="仿宋" w:eastAsia="仿宋" w:hAnsi="仿宋" w:hint="eastAsia"/>
          <w:bCs/>
          <w:color w:val="000000"/>
          <w:sz w:val="24"/>
          <w:szCs w:val="24"/>
        </w:rPr>
        <w:t>落实保密工作责任，</w:t>
      </w:r>
      <w:r>
        <w:rPr>
          <w:rFonts w:ascii="仿宋" w:eastAsia="仿宋" w:hAnsi="仿宋" w:hint="eastAsia"/>
          <w:color w:val="000000"/>
          <w:sz w:val="24"/>
          <w:szCs w:val="24"/>
        </w:rPr>
        <w:t>定期听取涉密人员保密工作汇报，定期举行保密工作培训，全面了解和掌握保密工作情况，及时研究解决保密工作中出现的问题，保证保密工作的保密性和稳定性。</w:t>
      </w:r>
    </w:p>
    <w:p w:rsidR="001C36B1" w:rsidRPr="00C0484C" w:rsidRDefault="001C36B1" w:rsidP="001C36B1">
      <w:pPr>
        <w:spacing w:line="360" w:lineRule="auto"/>
        <w:ind w:leftChars="13" w:left="27" w:firstLineChars="191" w:firstLine="458"/>
        <w:contextualSpacing/>
        <w:rPr>
          <w:rFonts w:ascii="仿宋" w:eastAsia="仿宋" w:hAnsi="仿宋"/>
          <w:color w:val="000000"/>
          <w:sz w:val="24"/>
          <w:szCs w:val="24"/>
        </w:rPr>
      </w:pPr>
      <w:r w:rsidRPr="00E93295">
        <w:rPr>
          <w:rFonts w:ascii="仿宋" w:eastAsia="仿宋" w:hAnsi="仿宋" w:hint="eastAsia"/>
          <w:bCs/>
          <w:color w:val="000000"/>
          <w:sz w:val="24"/>
          <w:szCs w:val="24"/>
        </w:rPr>
        <w:t>四、</w:t>
      </w:r>
      <w:r w:rsidRPr="00B5141B">
        <w:rPr>
          <w:rFonts w:ascii="仿宋" w:eastAsia="仿宋" w:hAnsi="仿宋" w:hint="eastAsia"/>
          <w:color w:val="000000"/>
          <w:sz w:val="24"/>
          <w:szCs w:val="24"/>
        </w:rPr>
        <w:t>设置专人</w:t>
      </w:r>
      <w:r>
        <w:rPr>
          <w:rFonts w:ascii="仿宋" w:eastAsia="仿宋" w:hAnsi="仿宋" w:hint="eastAsia"/>
          <w:color w:val="000000"/>
          <w:sz w:val="24"/>
          <w:szCs w:val="24"/>
        </w:rPr>
        <w:t>（领导一人，保密干事一人）负责实验室保密工作的日常管理，包括对涉密人员管理、涉密人员的建帐登记、涉密台账、涉密信息设备登记以及涉密科研项目等相关工作。</w:t>
      </w:r>
      <w:r w:rsidRPr="00C0484C">
        <w:rPr>
          <w:rFonts w:ascii="仿宋" w:eastAsia="仿宋" w:hAnsi="仿宋"/>
          <w:color w:val="000000"/>
          <w:sz w:val="24"/>
          <w:szCs w:val="24"/>
        </w:rPr>
        <w:t xml:space="preserve"> </w:t>
      </w:r>
    </w:p>
    <w:p w:rsidR="001C36B1" w:rsidRDefault="001C36B1" w:rsidP="001C36B1">
      <w:pPr>
        <w:spacing w:line="360" w:lineRule="auto"/>
        <w:ind w:leftChars="13" w:left="27" w:firstLineChars="191" w:firstLine="458"/>
        <w:contextualSpacing/>
        <w:rPr>
          <w:rFonts w:ascii="仿宋" w:eastAsia="仿宋" w:hAnsi="仿宋"/>
          <w:color w:val="000000"/>
          <w:sz w:val="24"/>
          <w:szCs w:val="24"/>
        </w:rPr>
      </w:pPr>
      <w:r>
        <w:rPr>
          <w:rFonts w:ascii="仿宋" w:eastAsia="仿宋" w:hAnsi="仿宋" w:hint="eastAsia"/>
          <w:bCs/>
          <w:color w:val="000000"/>
          <w:sz w:val="24"/>
          <w:szCs w:val="24"/>
        </w:rPr>
        <w:t>五</w:t>
      </w:r>
      <w:r w:rsidRPr="00E83EA6">
        <w:rPr>
          <w:rFonts w:ascii="仿宋" w:eastAsia="仿宋" w:hAnsi="仿宋" w:hint="eastAsia"/>
          <w:bCs/>
          <w:color w:val="000000"/>
          <w:sz w:val="24"/>
          <w:szCs w:val="24"/>
        </w:rPr>
        <w:t>、</w:t>
      </w:r>
      <w:r>
        <w:rPr>
          <w:rFonts w:ascii="仿宋" w:eastAsia="仿宋" w:hAnsi="仿宋" w:hint="eastAsia"/>
          <w:bCs/>
          <w:color w:val="000000"/>
          <w:sz w:val="24"/>
          <w:szCs w:val="24"/>
        </w:rPr>
        <w:t>设置保密专柜并配备密码，</w:t>
      </w:r>
      <w:r>
        <w:rPr>
          <w:rFonts w:ascii="仿宋" w:eastAsia="仿宋" w:hAnsi="仿宋" w:hint="eastAsia"/>
          <w:color w:val="000000"/>
          <w:sz w:val="24"/>
          <w:szCs w:val="24"/>
        </w:rPr>
        <w:t>负责实验室保密相关工作的秘密存储，规范和及时地保证涉密工作的安全性和稳定性。</w:t>
      </w:r>
    </w:p>
    <w:p w:rsidR="001C36B1" w:rsidRDefault="001C36B1" w:rsidP="001C36B1">
      <w:pPr>
        <w:spacing w:line="360" w:lineRule="auto"/>
        <w:ind w:leftChars="13" w:left="27" w:firstLineChars="191" w:firstLine="458"/>
        <w:contextualSpacing/>
        <w:rPr>
          <w:rFonts w:ascii="仿宋" w:eastAsia="仿宋" w:hAnsi="仿宋"/>
          <w:color w:val="000000"/>
          <w:sz w:val="24"/>
          <w:szCs w:val="24"/>
        </w:rPr>
      </w:pPr>
      <w:r>
        <w:rPr>
          <w:rFonts w:ascii="仿宋" w:eastAsia="仿宋" w:hAnsi="仿宋" w:hint="eastAsia"/>
          <w:color w:val="000000"/>
          <w:sz w:val="24"/>
          <w:szCs w:val="24"/>
        </w:rPr>
        <w:t>六、涉密人员季度自查、二级单位季度自查以及年度自查等手续，按照有关规定及时上交，妥善保存备份。</w:t>
      </w:r>
    </w:p>
    <w:p w:rsidR="001C36B1" w:rsidRDefault="001C36B1" w:rsidP="001C36B1">
      <w:pPr>
        <w:spacing w:line="360" w:lineRule="auto"/>
        <w:ind w:leftChars="13" w:left="27" w:firstLineChars="191" w:firstLine="458"/>
        <w:contextualSpacing/>
        <w:rPr>
          <w:rFonts w:ascii="仿宋" w:eastAsia="仿宋" w:hAnsi="仿宋"/>
          <w:color w:val="000000"/>
          <w:sz w:val="24"/>
          <w:szCs w:val="24"/>
        </w:rPr>
      </w:pPr>
      <w:r>
        <w:rPr>
          <w:rFonts w:ascii="仿宋" w:eastAsia="仿宋" w:hAnsi="仿宋" w:hint="eastAsia"/>
          <w:bCs/>
          <w:color w:val="000000"/>
          <w:sz w:val="24"/>
          <w:szCs w:val="24"/>
        </w:rPr>
        <w:t>七</w:t>
      </w:r>
      <w:r w:rsidRPr="00E83EA6">
        <w:rPr>
          <w:rFonts w:ascii="仿宋" w:eastAsia="仿宋" w:hAnsi="仿宋" w:hint="eastAsia"/>
          <w:bCs/>
          <w:color w:val="000000"/>
          <w:sz w:val="24"/>
          <w:szCs w:val="24"/>
        </w:rPr>
        <w:t>、</w:t>
      </w:r>
      <w:r>
        <w:rPr>
          <w:rFonts w:ascii="仿宋" w:eastAsia="仿宋" w:hAnsi="仿宋" w:hint="eastAsia"/>
          <w:color w:val="000000"/>
          <w:sz w:val="24"/>
          <w:szCs w:val="24"/>
        </w:rPr>
        <w:t>涉密设备原则上专机专用，特殊情况需多人使用的涉密人员需在场专人管理。涉密计算机不得直接或间接连入国际互联网等非涉密网，严格一机两用操作程序。涉密移动存储介质只能在本单位涉密计算机或涉密信息系统中使用，严禁借给外单位或转借他人使用，如有特殊情况需要严格按照规定报备执行。</w:t>
      </w:r>
    </w:p>
    <w:p w:rsidR="001C36B1" w:rsidRDefault="001C36B1" w:rsidP="001C36B1">
      <w:pPr>
        <w:spacing w:line="360" w:lineRule="auto"/>
        <w:ind w:leftChars="13" w:left="27" w:firstLineChars="191" w:firstLine="458"/>
        <w:contextualSpacing/>
        <w:rPr>
          <w:rFonts w:ascii="仿宋" w:eastAsia="仿宋" w:hAnsi="仿宋"/>
          <w:sz w:val="24"/>
          <w:szCs w:val="24"/>
        </w:rPr>
      </w:pPr>
      <w:r>
        <w:rPr>
          <w:rFonts w:ascii="仿宋" w:eastAsia="仿宋" w:hAnsi="仿宋" w:hint="eastAsia"/>
          <w:color w:val="000000"/>
          <w:sz w:val="24"/>
          <w:szCs w:val="24"/>
        </w:rPr>
        <w:t>八、</w:t>
      </w:r>
      <w:r>
        <w:rPr>
          <w:rFonts w:ascii="仿宋" w:eastAsia="仿宋" w:hAnsi="仿宋" w:hint="eastAsia"/>
          <w:sz w:val="24"/>
          <w:szCs w:val="24"/>
        </w:rPr>
        <w:t>依托保密主管部门建立保密绩效评价机制，按照定性与定量评价相结合的原则，对实验室涉密人员进行保密绩效考核，并报备上级管理部门。</w:t>
      </w:r>
    </w:p>
    <w:p w:rsidR="001C36B1" w:rsidRDefault="001C36B1" w:rsidP="001C36B1">
      <w:pPr>
        <w:spacing w:line="360" w:lineRule="auto"/>
        <w:ind w:leftChars="13" w:left="27" w:firstLineChars="191" w:firstLine="458"/>
        <w:contextualSpacing/>
        <w:rPr>
          <w:rFonts w:ascii="仿宋" w:eastAsia="仿宋" w:hAnsi="仿宋"/>
          <w:sz w:val="24"/>
          <w:szCs w:val="24"/>
        </w:rPr>
      </w:pPr>
      <w:r>
        <w:rPr>
          <w:rFonts w:ascii="仿宋" w:eastAsia="仿宋" w:hAnsi="仿宋" w:hint="eastAsia"/>
          <w:color w:val="000000"/>
          <w:sz w:val="24"/>
          <w:szCs w:val="24"/>
        </w:rPr>
        <w:t>九、实验室全面支持保密相关工作的开展，每年会设置专项经费用于保密工作，在人、财、物等方面给予保密工作最大的支持。</w:t>
      </w:r>
    </w:p>
    <w:p w:rsidR="001C36B1" w:rsidRDefault="001C36B1" w:rsidP="001C36B1">
      <w:pPr>
        <w:spacing w:line="360" w:lineRule="auto"/>
        <w:contextualSpacing/>
        <w:jc w:val="right"/>
        <w:rPr>
          <w:rFonts w:ascii="仿宋" w:eastAsia="仿宋" w:hAnsi="仿宋"/>
          <w:sz w:val="24"/>
          <w:szCs w:val="24"/>
        </w:rPr>
      </w:pPr>
      <w:r>
        <w:rPr>
          <w:rFonts w:ascii="仿宋" w:eastAsia="仿宋" w:hAnsi="仿宋" w:hint="eastAsia"/>
          <w:sz w:val="24"/>
          <w:szCs w:val="24"/>
        </w:rPr>
        <w:t>钢铁冶金新技术国家重点实验室</w:t>
      </w:r>
    </w:p>
    <w:p w:rsidR="00BD470D" w:rsidRPr="001C36B1" w:rsidRDefault="001C36B1" w:rsidP="001C36B1">
      <w:pPr>
        <w:spacing w:line="360" w:lineRule="auto"/>
        <w:ind w:firstLineChars="2426" w:firstLine="5822"/>
        <w:contextualSpacing/>
        <w:jc w:val="right"/>
        <w:rPr>
          <w:rFonts w:ascii="仿宋" w:eastAsia="仿宋" w:hAnsi="仿宋"/>
          <w:sz w:val="24"/>
          <w:szCs w:val="24"/>
        </w:rPr>
      </w:pPr>
      <w:r>
        <w:rPr>
          <w:rFonts w:ascii="仿宋" w:eastAsia="仿宋" w:hAnsi="仿宋" w:hint="eastAsia"/>
          <w:sz w:val="24"/>
          <w:szCs w:val="24"/>
        </w:rPr>
        <w:t>2022年11月09日</w:t>
      </w:r>
    </w:p>
    <w:sectPr w:rsidR="00BD470D" w:rsidRPr="001C36B1" w:rsidSect="00956A7F">
      <w:pgSz w:w="11906" w:h="16838"/>
      <w:pgMar w:top="992" w:right="1274" w:bottom="851"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70" w:rsidRDefault="00D55370" w:rsidP="0003324F">
      <w:r>
        <w:separator/>
      </w:r>
    </w:p>
  </w:endnote>
  <w:endnote w:type="continuationSeparator" w:id="0">
    <w:p w:rsidR="00D55370" w:rsidRDefault="00D55370" w:rsidP="0003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70" w:rsidRDefault="00D55370" w:rsidP="0003324F">
      <w:r>
        <w:separator/>
      </w:r>
    </w:p>
  </w:footnote>
  <w:footnote w:type="continuationSeparator" w:id="0">
    <w:p w:rsidR="00D55370" w:rsidRDefault="00D55370" w:rsidP="000332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01D60"/>
    <w:multiLevelType w:val="hybridMultilevel"/>
    <w:tmpl w:val="1F1CB83A"/>
    <w:lvl w:ilvl="0" w:tplc="6C4650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BC1819"/>
    <w:multiLevelType w:val="hybridMultilevel"/>
    <w:tmpl w:val="ED8C9C90"/>
    <w:lvl w:ilvl="0" w:tplc="283263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F01B50"/>
    <w:multiLevelType w:val="hybridMultilevel"/>
    <w:tmpl w:val="B6989694"/>
    <w:lvl w:ilvl="0" w:tplc="2530FE7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3B2E6F"/>
    <w:multiLevelType w:val="hybridMultilevel"/>
    <w:tmpl w:val="106C6CF0"/>
    <w:lvl w:ilvl="0" w:tplc="9FFE68A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11"/>
    <w:rsid w:val="0003324F"/>
    <w:rsid w:val="000903F2"/>
    <w:rsid w:val="0010210F"/>
    <w:rsid w:val="0010786D"/>
    <w:rsid w:val="001720F1"/>
    <w:rsid w:val="001C36B1"/>
    <w:rsid w:val="001D0542"/>
    <w:rsid w:val="001E007E"/>
    <w:rsid w:val="002563D7"/>
    <w:rsid w:val="00264468"/>
    <w:rsid w:val="002748D4"/>
    <w:rsid w:val="002760F6"/>
    <w:rsid w:val="00277338"/>
    <w:rsid w:val="00281A34"/>
    <w:rsid w:val="002F12A7"/>
    <w:rsid w:val="003229FB"/>
    <w:rsid w:val="00336E90"/>
    <w:rsid w:val="00381065"/>
    <w:rsid w:val="003A1DE5"/>
    <w:rsid w:val="004676AC"/>
    <w:rsid w:val="00483AE2"/>
    <w:rsid w:val="00494EAF"/>
    <w:rsid w:val="004B7357"/>
    <w:rsid w:val="004C06D0"/>
    <w:rsid w:val="00511223"/>
    <w:rsid w:val="005130D5"/>
    <w:rsid w:val="00522EBB"/>
    <w:rsid w:val="00533A4E"/>
    <w:rsid w:val="005379EA"/>
    <w:rsid w:val="00556616"/>
    <w:rsid w:val="00565C49"/>
    <w:rsid w:val="00565ECB"/>
    <w:rsid w:val="00587FCA"/>
    <w:rsid w:val="005A6CB5"/>
    <w:rsid w:val="005F2B86"/>
    <w:rsid w:val="00602A19"/>
    <w:rsid w:val="00651064"/>
    <w:rsid w:val="00663F40"/>
    <w:rsid w:val="00695B82"/>
    <w:rsid w:val="006C3E4B"/>
    <w:rsid w:val="00753FEC"/>
    <w:rsid w:val="007633CE"/>
    <w:rsid w:val="00831538"/>
    <w:rsid w:val="008724A1"/>
    <w:rsid w:val="00880A11"/>
    <w:rsid w:val="0091488F"/>
    <w:rsid w:val="009214AE"/>
    <w:rsid w:val="00956A7F"/>
    <w:rsid w:val="00962F12"/>
    <w:rsid w:val="009D15C2"/>
    <w:rsid w:val="00A3018A"/>
    <w:rsid w:val="00A35766"/>
    <w:rsid w:val="00A72958"/>
    <w:rsid w:val="00A9093C"/>
    <w:rsid w:val="00AB7DB6"/>
    <w:rsid w:val="00AC55A9"/>
    <w:rsid w:val="00B13356"/>
    <w:rsid w:val="00B31115"/>
    <w:rsid w:val="00B809D2"/>
    <w:rsid w:val="00BB3576"/>
    <w:rsid w:val="00BD470D"/>
    <w:rsid w:val="00C2515B"/>
    <w:rsid w:val="00C97605"/>
    <w:rsid w:val="00CB6142"/>
    <w:rsid w:val="00CC044A"/>
    <w:rsid w:val="00CE243C"/>
    <w:rsid w:val="00CE29EA"/>
    <w:rsid w:val="00D55370"/>
    <w:rsid w:val="00DD6F9B"/>
    <w:rsid w:val="00DE3D1C"/>
    <w:rsid w:val="00DE7272"/>
    <w:rsid w:val="00E1188B"/>
    <w:rsid w:val="00E33403"/>
    <w:rsid w:val="00E43F63"/>
    <w:rsid w:val="00E55F97"/>
    <w:rsid w:val="00E908EB"/>
    <w:rsid w:val="00E93C91"/>
    <w:rsid w:val="00E95C77"/>
    <w:rsid w:val="00EA39F1"/>
    <w:rsid w:val="00ED0749"/>
    <w:rsid w:val="00F074A0"/>
    <w:rsid w:val="00F876D4"/>
    <w:rsid w:val="00FC0C45"/>
    <w:rsid w:val="00FE6F5F"/>
    <w:rsid w:val="00FF4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4A"/>
    <w:pPr>
      <w:ind w:firstLineChars="200" w:firstLine="420"/>
    </w:pPr>
  </w:style>
  <w:style w:type="paragraph" w:styleId="a4">
    <w:name w:val="header"/>
    <w:basedOn w:val="a"/>
    <w:link w:val="Char"/>
    <w:uiPriority w:val="99"/>
    <w:unhideWhenUsed/>
    <w:rsid w:val="000332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324F"/>
    <w:rPr>
      <w:sz w:val="18"/>
      <w:szCs w:val="18"/>
    </w:rPr>
  </w:style>
  <w:style w:type="paragraph" w:styleId="a5">
    <w:name w:val="footer"/>
    <w:basedOn w:val="a"/>
    <w:link w:val="Char0"/>
    <w:uiPriority w:val="99"/>
    <w:unhideWhenUsed/>
    <w:rsid w:val="0003324F"/>
    <w:pPr>
      <w:tabs>
        <w:tab w:val="center" w:pos="4153"/>
        <w:tab w:val="right" w:pos="8306"/>
      </w:tabs>
      <w:snapToGrid w:val="0"/>
      <w:jc w:val="left"/>
    </w:pPr>
    <w:rPr>
      <w:sz w:val="18"/>
      <w:szCs w:val="18"/>
    </w:rPr>
  </w:style>
  <w:style w:type="character" w:customStyle="1" w:styleId="Char0">
    <w:name w:val="页脚 Char"/>
    <w:basedOn w:val="a0"/>
    <w:link w:val="a5"/>
    <w:uiPriority w:val="99"/>
    <w:rsid w:val="0003324F"/>
    <w:rPr>
      <w:sz w:val="18"/>
      <w:szCs w:val="18"/>
    </w:rPr>
  </w:style>
  <w:style w:type="paragraph" w:styleId="a6">
    <w:name w:val="Balloon Text"/>
    <w:basedOn w:val="a"/>
    <w:link w:val="Char1"/>
    <w:uiPriority w:val="99"/>
    <w:semiHidden/>
    <w:unhideWhenUsed/>
    <w:rsid w:val="0003324F"/>
    <w:rPr>
      <w:sz w:val="18"/>
      <w:szCs w:val="18"/>
    </w:rPr>
  </w:style>
  <w:style w:type="character" w:customStyle="1" w:styleId="Char1">
    <w:name w:val="批注框文本 Char"/>
    <w:basedOn w:val="a0"/>
    <w:link w:val="a6"/>
    <w:uiPriority w:val="99"/>
    <w:semiHidden/>
    <w:rsid w:val="0003324F"/>
    <w:rPr>
      <w:sz w:val="18"/>
      <w:szCs w:val="18"/>
    </w:rPr>
  </w:style>
  <w:style w:type="character" w:styleId="a7">
    <w:name w:val="Subtle Emphasis"/>
    <w:basedOn w:val="a0"/>
    <w:uiPriority w:val="19"/>
    <w:qFormat/>
    <w:rsid w:val="004B7357"/>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44A"/>
    <w:pPr>
      <w:ind w:firstLineChars="200" w:firstLine="420"/>
    </w:pPr>
  </w:style>
  <w:style w:type="paragraph" w:styleId="a4">
    <w:name w:val="header"/>
    <w:basedOn w:val="a"/>
    <w:link w:val="Char"/>
    <w:uiPriority w:val="99"/>
    <w:unhideWhenUsed/>
    <w:rsid w:val="000332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3324F"/>
    <w:rPr>
      <w:sz w:val="18"/>
      <w:szCs w:val="18"/>
    </w:rPr>
  </w:style>
  <w:style w:type="paragraph" w:styleId="a5">
    <w:name w:val="footer"/>
    <w:basedOn w:val="a"/>
    <w:link w:val="Char0"/>
    <w:uiPriority w:val="99"/>
    <w:unhideWhenUsed/>
    <w:rsid w:val="0003324F"/>
    <w:pPr>
      <w:tabs>
        <w:tab w:val="center" w:pos="4153"/>
        <w:tab w:val="right" w:pos="8306"/>
      </w:tabs>
      <w:snapToGrid w:val="0"/>
      <w:jc w:val="left"/>
    </w:pPr>
    <w:rPr>
      <w:sz w:val="18"/>
      <w:szCs w:val="18"/>
    </w:rPr>
  </w:style>
  <w:style w:type="character" w:customStyle="1" w:styleId="Char0">
    <w:name w:val="页脚 Char"/>
    <w:basedOn w:val="a0"/>
    <w:link w:val="a5"/>
    <w:uiPriority w:val="99"/>
    <w:rsid w:val="0003324F"/>
    <w:rPr>
      <w:sz w:val="18"/>
      <w:szCs w:val="18"/>
    </w:rPr>
  </w:style>
  <w:style w:type="paragraph" w:styleId="a6">
    <w:name w:val="Balloon Text"/>
    <w:basedOn w:val="a"/>
    <w:link w:val="Char1"/>
    <w:uiPriority w:val="99"/>
    <w:semiHidden/>
    <w:unhideWhenUsed/>
    <w:rsid w:val="0003324F"/>
    <w:rPr>
      <w:sz w:val="18"/>
      <w:szCs w:val="18"/>
    </w:rPr>
  </w:style>
  <w:style w:type="character" w:customStyle="1" w:styleId="Char1">
    <w:name w:val="批注框文本 Char"/>
    <w:basedOn w:val="a0"/>
    <w:link w:val="a6"/>
    <w:uiPriority w:val="99"/>
    <w:semiHidden/>
    <w:rsid w:val="0003324F"/>
    <w:rPr>
      <w:sz w:val="18"/>
      <w:szCs w:val="18"/>
    </w:rPr>
  </w:style>
  <w:style w:type="character" w:styleId="a7">
    <w:name w:val="Subtle Emphasis"/>
    <w:basedOn w:val="a0"/>
    <w:uiPriority w:val="19"/>
    <w:qFormat/>
    <w:rsid w:val="004B735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93DB3-1BEE-4710-81A5-20CB8107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2017-03-10T07:49:00Z</cp:lastPrinted>
  <dcterms:created xsi:type="dcterms:W3CDTF">2022-11-09T01:17:00Z</dcterms:created>
  <dcterms:modified xsi:type="dcterms:W3CDTF">2022-11-09T01:17:00Z</dcterms:modified>
</cp:coreProperties>
</file>